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BF942" w14:textId="1EB2DA82" w:rsidR="0074696E" w:rsidRPr="004C6EEE" w:rsidRDefault="008C3697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4E756F8A" wp14:editId="03D8C5D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728000"/>
            <wp:effectExtent l="0" t="0" r="3175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60D8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6C3C864B" w14:textId="77777777" w:rsidTr="003B5733">
        <w:tc>
          <w:tcPr>
            <w:tcW w:w="0" w:type="auto"/>
            <w:tcMar>
              <w:top w:w="1701" w:type="dxa"/>
              <w:left w:w="0" w:type="dxa"/>
              <w:right w:w="0" w:type="dxa"/>
            </w:tcMar>
          </w:tcPr>
          <w:p w14:paraId="75EBA597" w14:textId="122A49EE" w:rsidR="003B5733" w:rsidRPr="003B5733" w:rsidRDefault="00CC0525" w:rsidP="003B5733">
            <w:pPr>
              <w:pStyle w:val="Mainheading"/>
            </w:pPr>
            <w:r>
              <w:t>Floods - g</w:t>
            </w:r>
            <w:r w:rsidRPr="00FA0FB1">
              <w:t xml:space="preserve">uidance for </w:t>
            </w:r>
            <w:r>
              <w:t xml:space="preserve">treating swimming </w:t>
            </w:r>
            <w:r w:rsidRPr="00FA0FB1">
              <w:t>pools</w:t>
            </w:r>
          </w:p>
        </w:tc>
      </w:tr>
      <w:tr w:rsidR="00CC0525" w14:paraId="2C401CA3" w14:textId="77777777" w:rsidTr="00910240">
        <w:tc>
          <w:tcPr>
            <w:tcW w:w="0" w:type="auto"/>
          </w:tcPr>
          <w:p w14:paraId="68F8CF93" w14:textId="0532ADBD" w:rsidR="00CC0525" w:rsidRPr="00A1389F" w:rsidRDefault="00CC0525" w:rsidP="00CC0525">
            <w:pPr>
              <w:pStyle w:val="Mainsubheading"/>
            </w:pPr>
            <w:r>
              <w:t>Community information</w:t>
            </w:r>
          </w:p>
        </w:tc>
      </w:tr>
      <w:tr w:rsidR="003B5733" w14:paraId="72268B4E" w14:textId="77777777" w:rsidTr="00910240">
        <w:tc>
          <w:tcPr>
            <w:tcW w:w="0" w:type="auto"/>
          </w:tcPr>
          <w:p w14:paraId="329751B6" w14:textId="686EF88A" w:rsidR="003B5733" w:rsidRDefault="003B5733" w:rsidP="00910240">
            <w:pPr>
              <w:pStyle w:val="Bannermarking"/>
            </w:pPr>
          </w:p>
        </w:tc>
      </w:tr>
    </w:tbl>
    <w:p w14:paraId="032E502D" w14:textId="77777777" w:rsidR="00CC0525" w:rsidRDefault="00CC0525" w:rsidP="00CC0525">
      <w:pPr>
        <w:pStyle w:val="DHHSbody"/>
        <w:rPr>
          <w:b/>
        </w:rPr>
      </w:pPr>
      <w:bookmarkStart w:id="0" w:name="_Toc43799501"/>
      <w:bookmarkStart w:id="1" w:name="_Hlk37240926"/>
      <w:r w:rsidRPr="00832003">
        <w:t xml:space="preserve">There are many issues that need to be considered when a </w:t>
      </w:r>
      <w:r>
        <w:t xml:space="preserve">swimming </w:t>
      </w:r>
      <w:r w:rsidRPr="00832003">
        <w:t>pool has been affe</w:t>
      </w:r>
      <w:r>
        <w:t>cted by floodwaters. D</w:t>
      </w:r>
      <w:r w:rsidRPr="00832003">
        <w:t>angerous hazards</w:t>
      </w:r>
      <w:r w:rsidRPr="00C47D1E">
        <w:t>, such as</w:t>
      </w:r>
      <w:r>
        <w:t xml:space="preserve"> electrical safety and fencing, </w:t>
      </w:r>
      <w:r w:rsidRPr="00832003">
        <w:t>need to be assessed</w:t>
      </w:r>
      <w:r>
        <w:t xml:space="preserve"> first </w:t>
      </w:r>
      <w:r w:rsidRPr="00832003">
        <w:t>to prevent accidental drowning. It is likely that the pool water will be heavily contaminated, so treatment is necessary to prevent growth of bacteria and breeding of pests such as mosquitoes.</w:t>
      </w:r>
    </w:p>
    <w:bookmarkEnd w:id="0"/>
    <w:p w14:paraId="22C66EB8" w14:textId="77777777" w:rsidR="00CC0525" w:rsidRPr="004E0550" w:rsidRDefault="00CC0525" w:rsidP="00CC0525">
      <w:pPr>
        <w:pStyle w:val="Heading2"/>
      </w:pPr>
      <w:r>
        <w:t>Draining pool water</w:t>
      </w:r>
    </w:p>
    <w:p w14:paraId="31924E4E" w14:textId="77777777" w:rsidR="00CC0525" w:rsidRDefault="00CC0525" w:rsidP="00CC0525">
      <w:pPr>
        <w:pStyle w:val="DHHSbody"/>
      </w:pPr>
      <w:r w:rsidRPr="00FA0FB1">
        <w:t>It is recommended that professional advice is sought before emptying in-ground swimming pools. After a flood the groundwater table is likely to be high so if a pool is emptied it can lift and become damaged.</w:t>
      </w:r>
    </w:p>
    <w:p w14:paraId="54D2DF6D" w14:textId="77777777" w:rsidR="00CC0525" w:rsidRDefault="00CC0525" w:rsidP="00CC0525">
      <w:pPr>
        <w:pStyle w:val="Heading2"/>
      </w:pPr>
      <w:r w:rsidRPr="00FA0FB1">
        <w:t>Pre-Filtration</w:t>
      </w:r>
    </w:p>
    <w:p w14:paraId="38D23150" w14:textId="77777777" w:rsidR="00CC0525" w:rsidRPr="00D02AB6" w:rsidRDefault="00CC0525" w:rsidP="00CC0525">
      <w:pPr>
        <w:pStyle w:val="DHHSbody"/>
      </w:pPr>
      <w:r w:rsidRPr="00D02AB6">
        <w:t>Flood a</w:t>
      </w:r>
      <w:r>
        <w:t>ffected pools may contain debris</w:t>
      </w:r>
      <w:r w:rsidRPr="00D02AB6">
        <w:t xml:space="preserve">. Flocculants are chemicals that can be added to water to cause </w:t>
      </w:r>
      <w:r>
        <w:t>suspended particles to join together</w:t>
      </w:r>
      <w:r w:rsidRPr="00D02AB6">
        <w:t xml:space="preserve">, forming larger particles (flocs). Flocculating your pool water </w:t>
      </w:r>
      <w:r>
        <w:t>before</w:t>
      </w:r>
      <w:r w:rsidRPr="00D02AB6">
        <w:t xml:space="preserve"> filtration is recommended for effective removal of suspended materials and to prevent your filter clogging. Floccul</w:t>
      </w:r>
      <w:r>
        <w:t>ated material can be removed with a</w:t>
      </w:r>
      <w:r w:rsidRPr="00D02AB6">
        <w:t xml:space="preserve"> vacuum or other physical means such as skimming.</w:t>
      </w:r>
    </w:p>
    <w:p w14:paraId="72BAA64C" w14:textId="77777777" w:rsidR="00CC0525" w:rsidRDefault="00CC0525" w:rsidP="00CC0525">
      <w:pPr>
        <w:pStyle w:val="Heading2"/>
      </w:pPr>
      <w:r>
        <w:t>Filtration</w:t>
      </w:r>
    </w:p>
    <w:p w14:paraId="7D8AA273" w14:textId="77777777" w:rsidR="00CC0525" w:rsidRPr="00BD7FC4" w:rsidRDefault="00CC0525" w:rsidP="00CC0525">
      <w:pPr>
        <w:pStyle w:val="DHHSbody"/>
      </w:pPr>
      <w:r w:rsidRPr="00BD7FC4">
        <w:t>Filtration can be used to remove the remaining visible matter</w:t>
      </w:r>
      <w:r>
        <w:t xml:space="preserve"> in the pool</w:t>
      </w:r>
      <w:r w:rsidRPr="00BD7FC4">
        <w:t xml:space="preserve">. Filters need to be backwashed more frequently to help the process.  This procedure should be conducted </w:t>
      </w:r>
      <w:r>
        <w:t>before</w:t>
      </w:r>
      <w:r w:rsidRPr="00BD7FC4">
        <w:t xml:space="preserve"> chemical treatment.</w:t>
      </w:r>
    </w:p>
    <w:p w14:paraId="4A8704E5" w14:textId="77777777" w:rsidR="00CC0525" w:rsidRPr="00BD7FC4" w:rsidRDefault="00CC0525" w:rsidP="00CC0525">
      <w:pPr>
        <w:pStyle w:val="Heading2"/>
      </w:pPr>
      <w:r w:rsidRPr="00BD7FC4">
        <w:t>Chemical treatment</w:t>
      </w:r>
    </w:p>
    <w:p w14:paraId="38D3AD6B" w14:textId="77777777" w:rsidR="00CC0525" w:rsidRPr="00BD7FC4" w:rsidRDefault="00CC0525" w:rsidP="00CC0525">
      <w:pPr>
        <w:pStyle w:val="DHHSbody"/>
      </w:pPr>
      <w:r w:rsidRPr="00BD7FC4">
        <w:t xml:space="preserve">Private pool owners should follow manufacturer’s instructions relating to pool disinfection. </w:t>
      </w:r>
      <w:r>
        <w:t>Public a</w:t>
      </w:r>
      <w:r w:rsidRPr="00BD7FC4">
        <w:t xml:space="preserve">quatic </w:t>
      </w:r>
      <w:r>
        <w:t>f</w:t>
      </w:r>
      <w:r w:rsidRPr="00BD7FC4">
        <w:t xml:space="preserve">acilities as defined in the </w:t>
      </w:r>
      <w:hyperlink r:id="rId18" w:history="1">
        <w:r w:rsidRPr="00E67415">
          <w:rPr>
            <w:rStyle w:val="Hyperlink"/>
          </w:rPr>
          <w:t>Public Health and Wellbeing Regulations 2019</w:t>
        </w:r>
      </w:hyperlink>
      <w:r w:rsidRPr="00BD7FC4">
        <w:t xml:space="preserve"> (the regulations) are required to ensure they maintain the </w:t>
      </w:r>
      <w:r>
        <w:t xml:space="preserve">water quality </w:t>
      </w:r>
      <w:r w:rsidRPr="00BD7FC4">
        <w:t>parameters set out below.</w:t>
      </w:r>
    </w:p>
    <w:p w14:paraId="2BB0AEC0" w14:textId="77777777" w:rsidR="00CC0525" w:rsidRDefault="00CC0525" w:rsidP="00CC0525">
      <w:pPr>
        <w:pStyle w:val="Healthbody"/>
        <w:rPr>
          <w:b/>
        </w:rPr>
      </w:pPr>
      <w:r w:rsidRPr="00212053">
        <w:rPr>
          <w:b/>
        </w:rPr>
        <w:t>Table 1: Chlorinated Aquatic Facilities</w:t>
      </w:r>
    </w:p>
    <w:tbl>
      <w:tblPr>
        <w:tblStyle w:val="TableGrid"/>
        <w:tblW w:w="10207" w:type="dxa"/>
        <w:tblLook w:val="06A0" w:firstRow="1" w:lastRow="0" w:firstColumn="1" w:lastColumn="0" w:noHBand="1" w:noVBand="1"/>
      </w:tblPr>
      <w:tblGrid>
        <w:gridCol w:w="2552"/>
        <w:gridCol w:w="2552"/>
        <w:gridCol w:w="2552"/>
        <w:gridCol w:w="2551"/>
      </w:tblGrid>
      <w:tr w:rsidR="00CC0525" w14:paraId="786C2DAE" w14:textId="77777777" w:rsidTr="00571F37">
        <w:trPr>
          <w:tblHeader/>
        </w:trPr>
        <w:tc>
          <w:tcPr>
            <w:tcW w:w="2552" w:type="dxa"/>
          </w:tcPr>
          <w:p w14:paraId="342CBD2A" w14:textId="77777777" w:rsidR="00CC0525" w:rsidRPr="00CB3285" w:rsidRDefault="00CC0525" w:rsidP="00571F37">
            <w:pPr>
              <w:pStyle w:val="DHHStablecolhead"/>
            </w:pPr>
          </w:p>
        </w:tc>
        <w:tc>
          <w:tcPr>
            <w:tcW w:w="2552" w:type="dxa"/>
          </w:tcPr>
          <w:p w14:paraId="3361BDB0" w14:textId="77777777" w:rsidR="00CC0525" w:rsidRPr="00CB3285" w:rsidRDefault="00CC0525" w:rsidP="00571F37">
            <w:pPr>
              <w:pStyle w:val="DHHStablecolhead"/>
            </w:pPr>
            <w:r w:rsidRPr="00FA0FB1">
              <w:t>Swimming pool where cyanuric acid is NOT used</w:t>
            </w:r>
          </w:p>
        </w:tc>
        <w:tc>
          <w:tcPr>
            <w:tcW w:w="2552" w:type="dxa"/>
          </w:tcPr>
          <w:p w14:paraId="47B6E313" w14:textId="77777777" w:rsidR="00CC0525" w:rsidRPr="00B36948" w:rsidRDefault="00CC0525" w:rsidP="00571F37">
            <w:pPr>
              <w:pStyle w:val="DHHStablecolhead"/>
            </w:pPr>
            <w:r w:rsidRPr="00FA0FB1">
              <w:t>Swimming pool where cyanuric acid is used</w:t>
            </w:r>
          </w:p>
        </w:tc>
        <w:tc>
          <w:tcPr>
            <w:tcW w:w="2551" w:type="dxa"/>
          </w:tcPr>
          <w:p w14:paraId="4E323D72" w14:textId="77777777" w:rsidR="00CC0525" w:rsidRPr="00B36948" w:rsidRDefault="00CC0525" w:rsidP="00571F37">
            <w:pPr>
              <w:pStyle w:val="DHHStablecolhead"/>
            </w:pPr>
            <w:r w:rsidRPr="00FA0FB1">
              <w:t>Spa Pool</w:t>
            </w:r>
          </w:p>
        </w:tc>
      </w:tr>
      <w:tr w:rsidR="00CC0525" w14:paraId="1AAAE46D" w14:textId="77777777" w:rsidTr="00571F37">
        <w:tc>
          <w:tcPr>
            <w:tcW w:w="2552" w:type="dxa"/>
          </w:tcPr>
          <w:p w14:paraId="6921624C" w14:textId="77777777" w:rsidR="00CC0525" w:rsidRDefault="00CC0525" w:rsidP="00571F37">
            <w:pPr>
              <w:pStyle w:val="DHHStabletext"/>
            </w:pPr>
            <w:r w:rsidRPr="00FA0FB1">
              <w:t>Free Chlorine (mg/L) minimum</w:t>
            </w:r>
          </w:p>
        </w:tc>
        <w:tc>
          <w:tcPr>
            <w:tcW w:w="2552" w:type="dxa"/>
          </w:tcPr>
          <w:p w14:paraId="40C4E1A4" w14:textId="77777777" w:rsidR="00CC0525" w:rsidRDefault="00CC0525" w:rsidP="00571F37">
            <w:pPr>
              <w:pStyle w:val="DHHStabletext"/>
              <w:jc w:val="center"/>
            </w:pPr>
            <w:r>
              <w:t>1</w:t>
            </w:r>
          </w:p>
        </w:tc>
        <w:tc>
          <w:tcPr>
            <w:tcW w:w="2552" w:type="dxa"/>
          </w:tcPr>
          <w:p w14:paraId="5C1116DC" w14:textId="77777777" w:rsidR="00CC0525" w:rsidRDefault="00CC0525" w:rsidP="00571F37">
            <w:pPr>
              <w:pStyle w:val="DHHStablebullet2"/>
              <w:tabs>
                <w:tab w:val="clear" w:pos="227"/>
              </w:tabs>
              <w:ind w:left="227" w:firstLine="0"/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16A6DE4D" w14:textId="77777777" w:rsidR="00CC0525" w:rsidRDefault="00CC0525" w:rsidP="00571F37">
            <w:pPr>
              <w:pStyle w:val="DHHStablebullet2"/>
              <w:tabs>
                <w:tab w:val="clear" w:pos="227"/>
              </w:tabs>
              <w:ind w:left="227" w:firstLine="0"/>
              <w:jc w:val="center"/>
            </w:pPr>
            <w:r>
              <w:t>3</w:t>
            </w:r>
          </w:p>
        </w:tc>
      </w:tr>
      <w:tr w:rsidR="00CC0525" w14:paraId="63DE977B" w14:textId="77777777" w:rsidTr="00571F37">
        <w:tc>
          <w:tcPr>
            <w:tcW w:w="2552" w:type="dxa"/>
          </w:tcPr>
          <w:p w14:paraId="2909E2C5" w14:textId="77777777" w:rsidR="00CC0525" w:rsidRDefault="00CC0525" w:rsidP="00571F37">
            <w:pPr>
              <w:pStyle w:val="DHHStabletext"/>
            </w:pPr>
            <w:r w:rsidRPr="00FA0FB1">
              <w:t>Combined Chlorine (chloramines) (mg/L)</w:t>
            </w:r>
          </w:p>
        </w:tc>
        <w:tc>
          <w:tcPr>
            <w:tcW w:w="7655" w:type="dxa"/>
            <w:gridSpan w:val="3"/>
          </w:tcPr>
          <w:p w14:paraId="7B4D69BE" w14:textId="77777777" w:rsidR="00CC0525" w:rsidRDefault="00CC0525" w:rsidP="00571F37">
            <w:pPr>
              <w:pStyle w:val="DHHStablebullet1"/>
              <w:ind w:left="0" w:firstLine="0"/>
            </w:pPr>
            <w:r w:rsidRPr="00FA0FB1">
              <w:t>Max. 1.0 mg/L, ideally &lt; 0.2 mg/L. Must be less than the Free Chlorine level</w:t>
            </w:r>
            <w:r>
              <w:t>.</w:t>
            </w:r>
          </w:p>
        </w:tc>
      </w:tr>
      <w:tr w:rsidR="00CC0525" w14:paraId="26C05A7E" w14:textId="77777777" w:rsidTr="00571F37">
        <w:trPr>
          <w:trHeight w:val="756"/>
        </w:trPr>
        <w:tc>
          <w:tcPr>
            <w:tcW w:w="2552" w:type="dxa"/>
          </w:tcPr>
          <w:p w14:paraId="6D663474" w14:textId="77777777" w:rsidR="00CC0525" w:rsidRDefault="00CC0525" w:rsidP="00571F37">
            <w:pPr>
              <w:pStyle w:val="DHHStabletext6pt"/>
            </w:pPr>
            <w:r w:rsidRPr="00FA0FB1">
              <w:t>Total Chlorine (mg/L) maximum</w:t>
            </w:r>
          </w:p>
        </w:tc>
        <w:tc>
          <w:tcPr>
            <w:tcW w:w="2552" w:type="dxa"/>
          </w:tcPr>
          <w:p w14:paraId="04F74021" w14:textId="77777777" w:rsidR="00CC0525" w:rsidRDefault="00CC0525" w:rsidP="00571F37">
            <w:pPr>
              <w:pStyle w:val="DHHStabletext"/>
              <w:jc w:val="center"/>
            </w:pPr>
            <w:r>
              <w:t>10</w:t>
            </w:r>
          </w:p>
        </w:tc>
        <w:tc>
          <w:tcPr>
            <w:tcW w:w="2552" w:type="dxa"/>
          </w:tcPr>
          <w:p w14:paraId="1C63DA61" w14:textId="77777777" w:rsidR="00CC0525" w:rsidRDefault="00CC0525" w:rsidP="00571F37">
            <w:pPr>
              <w:pStyle w:val="DHHStabletext"/>
              <w:jc w:val="center"/>
            </w:pPr>
            <w:r>
              <w:t>10</w:t>
            </w:r>
          </w:p>
        </w:tc>
        <w:tc>
          <w:tcPr>
            <w:tcW w:w="2551" w:type="dxa"/>
          </w:tcPr>
          <w:p w14:paraId="3DBD6B0B" w14:textId="77777777" w:rsidR="00CC0525" w:rsidRDefault="00CC0525" w:rsidP="00571F37">
            <w:pPr>
              <w:pStyle w:val="DHHStabletext"/>
              <w:jc w:val="center"/>
            </w:pPr>
            <w:r>
              <w:t>10</w:t>
            </w:r>
          </w:p>
        </w:tc>
      </w:tr>
      <w:tr w:rsidR="00CC0525" w14:paraId="6761C08C" w14:textId="77777777" w:rsidTr="00571F37">
        <w:trPr>
          <w:trHeight w:val="756"/>
        </w:trPr>
        <w:tc>
          <w:tcPr>
            <w:tcW w:w="2552" w:type="dxa"/>
          </w:tcPr>
          <w:p w14:paraId="3C5C50EA" w14:textId="77777777" w:rsidR="00CC0525" w:rsidRPr="00FA0FB1" w:rsidRDefault="00CC0525" w:rsidP="00571F37">
            <w:pPr>
              <w:pStyle w:val="DHHStabletext6pt"/>
            </w:pPr>
            <w:r>
              <w:lastRenderedPageBreak/>
              <w:t>pH</w:t>
            </w:r>
          </w:p>
        </w:tc>
        <w:tc>
          <w:tcPr>
            <w:tcW w:w="2552" w:type="dxa"/>
          </w:tcPr>
          <w:p w14:paraId="3C99033D" w14:textId="77777777" w:rsidR="00CC0525" w:rsidRDefault="00CC0525" w:rsidP="00571F37">
            <w:pPr>
              <w:pStyle w:val="DHHStabletext"/>
              <w:jc w:val="center"/>
            </w:pPr>
            <w:r>
              <w:t>7.2 – 7.8</w:t>
            </w:r>
          </w:p>
        </w:tc>
        <w:tc>
          <w:tcPr>
            <w:tcW w:w="2552" w:type="dxa"/>
          </w:tcPr>
          <w:p w14:paraId="551E1A05" w14:textId="77777777" w:rsidR="00CC0525" w:rsidRDefault="00CC0525" w:rsidP="00571F37">
            <w:pPr>
              <w:pStyle w:val="DHHStabletext"/>
              <w:jc w:val="center"/>
            </w:pPr>
            <w:r>
              <w:t>7.2 – 7.8</w:t>
            </w:r>
          </w:p>
        </w:tc>
        <w:tc>
          <w:tcPr>
            <w:tcW w:w="2551" w:type="dxa"/>
          </w:tcPr>
          <w:p w14:paraId="7ED90A01" w14:textId="77777777" w:rsidR="00CC0525" w:rsidRDefault="00CC0525" w:rsidP="00571F37">
            <w:pPr>
              <w:pStyle w:val="DHHStabletext"/>
              <w:jc w:val="center"/>
            </w:pPr>
            <w:r>
              <w:t>7.2 – 7.8</w:t>
            </w:r>
          </w:p>
        </w:tc>
      </w:tr>
    </w:tbl>
    <w:p w14:paraId="2C24A230" w14:textId="77777777" w:rsidR="00CC0525" w:rsidRDefault="00CC0525" w:rsidP="00CC0525">
      <w:pPr>
        <w:pStyle w:val="Healthbody"/>
        <w:rPr>
          <w:b/>
        </w:rPr>
      </w:pPr>
    </w:p>
    <w:p w14:paraId="0C415F99" w14:textId="77777777" w:rsidR="00CC0525" w:rsidRDefault="00CC0525" w:rsidP="00CC0525">
      <w:pPr>
        <w:pStyle w:val="Healthbody"/>
        <w:rPr>
          <w:b/>
        </w:rPr>
      </w:pPr>
      <w:r w:rsidRPr="00FA0FB1">
        <w:rPr>
          <w:b/>
        </w:rPr>
        <w:t xml:space="preserve">Table 2: Brominated Aquatic Facilities       </w:t>
      </w:r>
    </w:p>
    <w:tbl>
      <w:tblPr>
        <w:tblStyle w:val="TableGrid"/>
        <w:tblW w:w="7655" w:type="dxa"/>
        <w:tblLook w:val="06A0" w:firstRow="1" w:lastRow="0" w:firstColumn="1" w:lastColumn="0" w:noHBand="1" w:noVBand="1"/>
      </w:tblPr>
      <w:tblGrid>
        <w:gridCol w:w="2552"/>
        <w:gridCol w:w="2552"/>
        <w:gridCol w:w="2551"/>
      </w:tblGrid>
      <w:tr w:rsidR="00CC0525" w14:paraId="0E593340" w14:textId="77777777" w:rsidTr="00571F37">
        <w:trPr>
          <w:tblHeader/>
        </w:trPr>
        <w:tc>
          <w:tcPr>
            <w:tcW w:w="2552" w:type="dxa"/>
          </w:tcPr>
          <w:p w14:paraId="42FD2841" w14:textId="77777777" w:rsidR="00CC0525" w:rsidRPr="00CB3285" w:rsidRDefault="00CC0525" w:rsidP="00571F37">
            <w:pPr>
              <w:pStyle w:val="DHHStablecolhead"/>
            </w:pPr>
          </w:p>
        </w:tc>
        <w:tc>
          <w:tcPr>
            <w:tcW w:w="2552" w:type="dxa"/>
          </w:tcPr>
          <w:p w14:paraId="04FE1DE2" w14:textId="77777777" w:rsidR="00CC0525" w:rsidRPr="00CB3285" w:rsidRDefault="00CC0525" w:rsidP="00571F37">
            <w:pPr>
              <w:pStyle w:val="DHHStablecolhead"/>
            </w:pPr>
            <w:r w:rsidRPr="00FA0FB1">
              <w:t xml:space="preserve">Swimming pool </w:t>
            </w:r>
          </w:p>
        </w:tc>
        <w:tc>
          <w:tcPr>
            <w:tcW w:w="2551" w:type="dxa"/>
          </w:tcPr>
          <w:p w14:paraId="23CD1988" w14:textId="77777777" w:rsidR="00CC0525" w:rsidRPr="00B36948" w:rsidRDefault="00CC0525" w:rsidP="00571F37">
            <w:pPr>
              <w:pStyle w:val="DHHStablecolhead"/>
            </w:pPr>
            <w:r w:rsidRPr="00FA0FB1">
              <w:t>Spa Pool</w:t>
            </w:r>
          </w:p>
        </w:tc>
      </w:tr>
      <w:tr w:rsidR="00CC0525" w14:paraId="50C29768" w14:textId="77777777" w:rsidTr="00571F37">
        <w:tc>
          <w:tcPr>
            <w:tcW w:w="2552" w:type="dxa"/>
          </w:tcPr>
          <w:p w14:paraId="0F0FE49C" w14:textId="77777777" w:rsidR="00CC0525" w:rsidRDefault="00CC0525" w:rsidP="00571F37">
            <w:pPr>
              <w:pStyle w:val="DHHStabletext"/>
            </w:pPr>
            <w:r w:rsidRPr="00FA0FB1">
              <w:t xml:space="preserve">Free </w:t>
            </w:r>
            <w:r>
              <w:t>bromine</w:t>
            </w:r>
            <w:r w:rsidRPr="00FA0FB1">
              <w:t xml:space="preserve"> (mg/L) minimum</w:t>
            </w:r>
          </w:p>
        </w:tc>
        <w:tc>
          <w:tcPr>
            <w:tcW w:w="2552" w:type="dxa"/>
          </w:tcPr>
          <w:p w14:paraId="6FC1FDA6" w14:textId="77777777" w:rsidR="00CC0525" w:rsidRDefault="00CC0525" w:rsidP="00571F37">
            <w:pPr>
              <w:pStyle w:val="DHHStabletext"/>
              <w:jc w:val="center"/>
            </w:pPr>
            <w:r>
              <w:t>2</w:t>
            </w:r>
          </w:p>
        </w:tc>
        <w:tc>
          <w:tcPr>
            <w:tcW w:w="2551" w:type="dxa"/>
          </w:tcPr>
          <w:p w14:paraId="002CC65D" w14:textId="77777777" w:rsidR="00CC0525" w:rsidRDefault="00CC0525" w:rsidP="00571F37">
            <w:pPr>
              <w:pStyle w:val="DHHStabletext"/>
              <w:jc w:val="center"/>
            </w:pPr>
            <w:r>
              <w:t>6</w:t>
            </w:r>
          </w:p>
        </w:tc>
      </w:tr>
      <w:tr w:rsidR="00CC0525" w14:paraId="3DD342AA" w14:textId="77777777" w:rsidTr="00571F37">
        <w:trPr>
          <w:trHeight w:val="756"/>
        </w:trPr>
        <w:tc>
          <w:tcPr>
            <w:tcW w:w="2552" w:type="dxa"/>
          </w:tcPr>
          <w:p w14:paraId="54373E68" w14:textId="77777777" w:rsidR="00CC0525" w:rsidRDefault="00CC0525" w:rsidP="00571F37">
            <w:pPr>
              <w:pStyle w:val="DHHStabletext6pt"/>
            </w:pPr>
            <w:r w:rsidRPr="00FA0FB1">
              <w:t xml:space="preserve">Total </w:t>
            </w:r>
            <w:r>
              <w:t>bromine</w:t>
            </w:r>
            <w:r w:rsidRPr="00FA0FB1">
              <w:t xml:space="preserve"> (mg/L) maximum</w:t>
            </w:r>
          </w:p>
        </w:tc>
        <w:tc>
          <w:tcPr>
            <w:tcW w:w="2552" w:type="dxa"/>
          </w:tcPr>
          <w:p w14:paraId="66620AE6" w14:textId="77777777" w:rsidR="00CC0525" w:rsidRDefault="00CC0525" w:rsidP="00571F37">
            <w:pPr>
              <w:pStyle w:val="DHHStabletext"/>
              <w:jc w:val="center"/>
            </w:pPr>
            <w:r>
              <w:t>8</w:t>
            </w:r>
          </w:p>
        </w:tc>
        <w:tc>
          <w:tcPr>
            <w:tcW w:w="2551" w:type="dxa"/>
          </w:tcPr>
          <w:p w14:paraId="5A4901B4" w14:textId="77777777" w:rsidR="00CC0525" w:rsidRDefault="00CC0525" w:rsidP="00571F37">
            <w:pPr>
              <w:pStyle w:val="DHHStabletext"/>
              <w:jc w:val="center"/>
            </w:pPr>
            <w:r>
              <w:t>8</w:t>
            </w:r>
          </w:p>
        </w:tc>
      </w:tr>
      <w:tr w:rsidR="00CC0525" w14:paraId="1D984083" w14:textId="77777777" w:rsidTr="00571F37">
        <w:trPr>
          <w:trHeight w:val="756"/>
        </w:trPr>
        <w:tc>
          <w:tcPr>
            <w:tcW w:w="2552" w:type="dxa"/>
          </w:tcPr>
          <w:p w14:paraId="6CB1394A" w14:textId="77777777" w:rsidR="00CC0525" w:rsidRPr="00FA0FB1" w:rsidRDefault="00CC0525" w:rsidP="00571F37">
            <w:pPr>
              <w:pStyle w:val="DHHStabletext6pt"/>
            </w:pPr>
            <w:r>
              <w:t>pH</w:t>
            </w:r>
          </w:p>
        </w:tc>
        <w:tc>
          <w:tcPr>
            <w:tcW w:w="2552" w:type="dxa"/>
          </w:tcPr>
          <w:p w14:paraId="65EFBB4D" w14:textId="77777777" w:rsidR="00CC0525" w:rsidRDefault="00CC0525" w:rsidP="00571F37">
            <w:pPr>
              <w:pStyle w:val="DHHStabletext"/>
              <w:jc w:val="center"/>
            </w:pPr>
            <w:r>
              <w:t>7.2 – 8.0</w:t>
            </w:r>
          </w:p>
        </w:tc>
        <w:tc>
          <w:tcPr>
            <w:tcW w:w="2551" w:type="dxa"/>
          </w:tcPr>
          <w:p w14:paraId="38F156B5" w14:textId="77777777" w:rsidR="00CC0525" w:rsidRDefault="00CC0525" w:rsidP="00571F37">
            <w:pPr>
              <w:pStyle w:val="DHHStabletext"/>
              <w:jc w:val="center"/>
            </w:pPr>
            <w:r>
              <w:t>7.2 – 8.0</w:t>
            </w:r>
          </w:p>
        </w:tc>
      </w:tr>
    </w:tbl>
    <w:p w14:paraId="74EFA47F" w14:textId="77777777" w:rsidR="00CC0525" w:rsidRDefault="00CC0525" w:rsidP="00CC0525">
      <w:pPr>
        <w:pStyle w:val="Heading3"/>
      </w:pPr>
      <w:r w:rsidRPr="00FA0FB1">
        <w:t>Cyanuric acid (outdoor aquatic facility only)</w:t>
      </w:r>
    </w:p>
    <w:p w14:paraId="2886A435" w14:textId="77777777" w:rsidR="00CC0525" w:rsidRDefault="00CC0525" w:rsidP="00CC0525">
      <w:pPr>
        <w:pStyle w:val="ListParagraph"/>
        <w:numPr>
          <w:ilvl w:val="0"/>
          <w:numId w:val="40"/>
        </w:numPr>
        <w:rPr>
          <w:rFonts w:ascii="Arial" w:eastAsia="Times" w:hAnsi="Arial"/>
        </w:rPr>
      </w:pPr>
      <w:r w:rsidRPr="00FA0FB1">
        <w:rPr>
          <w:rFonts w:ascii="Arial" w:eastAsia="Times" w:hAnsi="Arial"/>
        </w:rPr>
        <w:t>If used, the maximum cyanuric acid level must not exceed 100mg/L, and should ideally be &lt; 30 mg/L</w:t>
      </w:r>
    </w:p>
    <w:p w14:paraId="505659B3" w14:textId="77777777" w:rsidR="00CC0525" w:rsidRDefault="00CC0525" w:rsidP="00CC0525">
      <w:pPr>
        <w:pStyle w:val="Heading3"/>
      </w:pPr>
      <w:r>
        <w:t>Total alkalinity</w:t>
      </w:r>
    </w:p>
    <w:p w14:paraId="1BBBF6B4" w14:textId="77777777" w:rsidR="00CC0525" w:rsidRPr="00FA0FB1" w:rsidRDefault="00CC0525" w:rsidP="00CC0525">
      <w:pPr>
        <w:pStyle w:val="Healthbody"/>
        <w:numPr>
          <w:ilvl w:val="0"/>
          <w:numId w:val="40"/>
        </w:numPr>
      </w:pPr>
      <w:r w:rsidRPr="00EF4D3C">
        <w:t>Total alkalinity in the water of the aquatic facility must be maintained above 60mg/L and should not be more than 200mg/L</w:t>
      </w:r>
    </w:p>
    <w:p w14:paraId="14F42698" w14:textId="77777777" w:rsidR="00CC0525" w:rsidRDefault="00CC0525" w:rsidP="00CC0525">
      <w:pPr>
        <w:pStyle w:val="Heading2"/>
      </w:pPr>
      <w:r>
        <w:t>Follow up samples</w:t>
      </w:r>
    </w:p>
    <w:p w14:paraId="75794877" w14:textId="77777777" w:rsidR="00CC0525" w:rsidRPr="00212053" w:rsidRDefault="00CC0525" w:rsidP="00CC0525">
      <w:pPr>
        <w:pStyle w:val="DHHSbody"/>
      </w:pPr>
      <w:r w:rsidRPr="00212053">
        <w:t xml:space="preserve">It is further recommended that </w:t>
      </w:r>
      <w:r>
        <w:t>a</w:t>
      </w:r>
      <w:r w:rsidRPr="00212053">
        <w:t xml:space="preserve">quatic </w:t>
      </w:r>
      <w:r>
        <w:t>f</w:t>
      </w:r>
      <w:r w:rsidRPr="00212053">
        <w:t xml:space="preserve">acilities collect samples to ensure the microbiological standard of the water is within the following parameters: </w:t>
      </w:r>
    </w:p>
    <w:p w14:paraId="48DE06B9" w14:textId="77777777" w:rsidR="00CC0525" w:rsidRPr="00212053" w:rsidRDefault="00CC0525" w:rsidP="00CC0525">
      <w:pPr>
        <w:pStyle w:val="DHHSnumberloweralpha"/>
        <w:numPr>
          <w:ilvl w:val="0"/>
          <w:numId w:val="22"/>
        </w:numPr>
      </w:pPr>
      <w:r w:rsidRPr="00212053">
        <w:t>a heterotrophic colony count less than 100 colony forming units per millilitre;</w:t>
      </w:r>
    </w:p>
    <w:p w14:paraId="08B4CD0A" w14:textId="77777777" w:rsidR="00CC0525" w:rsidRPr="00212053" w:rsidRDefault="00CC0525" w:rsidP="00CC0525">
      <w:pPr>
        <w:pStyle w:val="DHHSnumberloweralpha"/>
        <w:numPr>
          <w:ilvl w:val="0"/>
          <w:numId w:val="22"/>
        </w:numPr>
      </w:pPr>
      <w:r w:rsidRPr="004662FA">
        <w:rPr>
          <w:i/>
          <w:iCs/>
        </w:rPr>
        <w:t>Escherichia coli</w:t>
      </w:r>
      <w:r w:rsidRPr="00212053">
        <w:t xml:space="preserve"> is not detected in 100 millilitres;</w:t>
      </w:r>
    </w:p>
    <w:p w14:paraId="1B2AA657" w14:textId="77777777" w:rsidR="00CC0525" w:rsidRPr="00212053" w:rsidRDefault="00CC0525" w:rsidP="00CC0525">
      <w:pPr>
        <w:pStyle w:val="DHHSnumberloweralpha"/>
        <w:numPr>
          <w:ilvl w:val="0"/>
          <w:numId w:val="22"/>
        </w:numPr>
      </w:pPr>
      <w:r w:rsidRPr="004662FA">
        <w:rPr>
          <w:i/>
          <w:iCs/>
        </w:rPr>
        <w:t>Pseudomonas aeruginosa</w:t>
      </w:r>
      <w:r w:rsidRPr="00212053">
        <w:t xml:space="preserve"> is not detected in 100 millilitres.</w:t>
      </w:r>
    </w:p>
    <w:p w14:paraId="4E3C29CD" w14:textId="77777777" w:rsidR="00CC0525" w:rsidRPr="00212053" w:rsidRDefault="00CC0525" w:rsidP="00CC0525">
      <w:pPr>
        <w:pStyle w:val="Healthbody"/>
      </w:pPr>
      <w:r w:rsidRPr="00212053">
        <w:t xml:space="preserve">Sampling can be organised via a NATA accredited laboratory.  </w:t>
      </w:r>
    </w:p>
    <w:p w14:paraId="751C8146" w14:textId="77777777" w:rsidR="00CC0525" w:rsidRPr="00AA7A57" w:rsidRDefault="00CC0525" w:rsidP="00CC0525">
      <w:pPr>
        <w:pStyle w:val="Heading2"/>
        <w:rPr>
          <w:lang w:eastAsia="en-AU"/>
        </w:rPr>
      </w:pPr>
      <w:r w:rsidRPr="00AA7A57">
        <w:rPr>
          <w:lang w:eastAsia="en-AU"/>
        </w:rPr>
        <w:t>Further information</w:t>
      </w:r>
    </w:p>
    <w:p w14:paraId="61985888" w14:textId="77777777" w:rsidR="00CC0525" w:rsidRDefault="00CC0525" w:rsidP="00CC0525">
      <w:pPr>
        <w:pStyle w:val="Healthbody"/>
      </w:pPr>
      <w:r>
        <w:t>C</w:t>
      </w:r>
      <w:r w:rsidRPr="00212053">
        <w:t>onta</w:t>
      </w:r>
      <w:r>
        <w:t xml:space="preserve">ct your local council or visit: </w:t>
      </w:r>
      <w:hyperlink r:id="rId19" w:history="1">
        <w:r w:rsidRPr="00EC5646">
          <w:rPr>
            <w:rStyle w:val="Hyperlink"/>
          </w:rPr>
          <w:t>https://www2.health.vic.gov.au/public-health/water/aquatic-facilities</w:t>
        </w:r>
      </w:hyperlink>
      <w:r>
        <w:t xml:space="preserve"> 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B1665CE" w14:textId="77777777" w:rsidTr="00EC40D5">
        <w:tc>
          <w:tcPr>
            <w:tcW w:w="10194" w:type="dxa"/>
          </w:tcPr>
          <w:p w14:paraId="586F8788" w14:textId="28601D72" w:rsidR="00AD6AE0" w:rsidRDefault="00AD6AE0" w:rsidP="00AD6AE0">
            <w:pPr>
              <w:pStyle w:val="Accessibilitypara"/>
            </w:pPr>
            <w:r w:rsidRPr="009E664B">
              <w:t xml:space="preserve">Information on </w:t>
            </w:r>
            <w:r>
              <w:t>treating swimming pools after a flood</w:t>
            </w:r>
            <w:r w:rsidRPr="009E664B">
              <w:t xml:space="preserve"> go to the </w:t>
            </w:r>
            <w:hyperlink r:id="rId20" w:history="1">
              <w:r w:rsidRPr="009E664B">
                <w:rPr>
                  <w:rStyle w:val="Hyperlink"/>
                </w:rPr>
                <w:t>Better Health Channel</w:t>
              </w:r>
            </w:hyperlink>
            <w:r w:rsidRPr="009E664B">
              <w:t xml:space="preserve"> &lt;</w:t>
            </w:r>
            <w:hyperlink r:id="rId21" w:history="1">
              <w:r w:rsidRPr="009E664B">
                <w:t>www.betterhealth.vic.gov.au</w:t>
              </w:r>
            </w:hyperlink>
            <w:r w:rsidRPr="009E664B">
              <w:t>&gt;</w:t>
            </w:r>
          </w:p>
          <w:p w14:paraId="0BDFDF7E" w14:textId="594F5BF4" w:rsidR="0055119B" w:rsidRPr="00AD6AE0" w:rsidRDefault="0055119B" w:rsidP="0055119B">
            <w:pPr>
              <w:pStyle w:val="Accessibilitypara"/>
              <w:rPr>
                <w:sz w:val="20"/>
                <w:szCs w:val="20"/>
              </w:rPr>
            </w:pPr>
            <w:r w:rsidRPr="00AD6AE0">
              <w:rPr>
                <w:sz w:val="20"/>
                <w:szCs w:val="20"/>
              </w:rPr>
              <w:t xml:space="preserve">To receive this document in another format, phone </w:t>
            </w:r>
            <w:r w:rsidR="00CC0525" w:rsidRPr="00AD6AE0">
              <w:rPr>
                <w:sz w:val="20"/>
                <w:szCs w:val="20"/>
              </w:rPr>
              <w:t>1300 761 874</w:t>
            </w:r>
            <w:r w:rsidRPr="00AD6AE0">
              <w:rPr>
                <w:sz w:val="20"/>
                <w:szCs w:val="20"/>
              </w:rPr>
              <w:t xml:space="preserve">, using the National Relay Service 13 36 77 if required, </w:t>
            </w:r>
            <w:r w:rsidR="00CC0525" w:rsidRPr="00AD6AE0">
              <w:rPr>
                <w:sz w:val="20"/>
                <w:szCs w:val="20"/>
              </w:rPr>
              <w:t xml:space="preserve">or </w:t>
            </w:r>
            <w:hyperlink r:id="rId22" w:history="1">
              <w:r w:rsidR="00CC0525" w:rsidRPr="00AD6AE0">
                <w:rPr>
                  <w:rStyle w:val="Hyperlink"/>
                  <w:sz w:val="20"/>
                  <w:szCs w:val="20"/>
                </w:rPr>
                <w:t>email the Water Unit</w:t>
              </w:r>
            </w:hyperlink>
            <w:r w:rsidR="00CC0525" w:rsidRPr="00AD6AE0">
              <w:rPr>
                <w:sz w:val="20"/>
                <w:szCs w:val="20"/>
              </w:rPr>
              <w:t xml:space="preserve"> &lt;water@dhhs.vic.gov.au&gt;.</w:t>
            </w:r>
          </w:p>
          <w:p w14:paraId="268D9541" w14:textId="77777777" w:rsidR="0055119B" w:rsidRPr="00AD6AE0" w:rsidRDefault="0055119B" w:rsidP="00E33237">
            <w:pPr>
              <w:pStyle w:val="Imprint"/>
            </w:pPr>
            <w:r w:rsidRPr="00AD6AE0">
              <w:t>Authorised and published by the Victorian Government, 1 Treasury Place, Melbourne.</w:t>
            </w:r>
          </w:p>
          <w:p w14:paraId="595CE051" w14:textId="2B6E4101" w:rsidR="0055119B" w:rsidRDefault="0055119B" w:rsidP="00E33237">
            <w:pPr>
              <w:pStyle w:val="Imprint"/>
            </w:pPr>
            <w:r w:rsidRPr="00AD6AE0">
              <w:t xml:space="preserve">© State of Victoria, Australia, </w:t>
            </w:r>
            <w:r w:rsidR="001E2A36" w:rsidRPr="00AD6AE0">
              <w:t>Department of Health</w:t>
            </w:r>
            <w:r w:rsidR="00CC0525" w:rsidRPr="00AD6AE0">
              <w:t>, February 2021.</w:t>
            </w:r>
          </w:p>
        </w:tc>
      </w:tr>
      <w:bookmarkEnd w:id="1"/>
    </w:tbl>
    <w:p w14:paraId="054C7CA3" w14:textId="77777777" w:rsidR="00162CA9" w:rsidRDefault="00162CA9" w:rsidP="00162CA9">
      <w:pPr>
        <w:pStyle w:val="Body"/>
      </w:pPr>
    </w:p>
    <w:sectPr w:rsidR="00162CA9" w:rsidSect="00E62622">
      <w:headerReference w:type="default" r:id="rId23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A5D31" w14:textId="77777777" w:rsidR="008D37F6" w:rsidRDefault="008D37F6">
      <w:r>
        <w:separator/>
      </w:r>
    </w:p>
  </w:endnote>
  <w:endnote w:type="continuationSeparator" w:id="0">
    <w:p w14:paraId="2F8D7791" w14:textId="77777777" w:rsidR="008D37F6" w:rsidRDefault="008D37F6">
      <w:r>
        <w:continuationSeparator/>
      </w:r>
    </w:p>
  </w:endnote>
  <w:endnote w:type="continuationNotice" w:id="1">
    <w:p w14:paraId="26B0027C" w14:textId="77777777" w:rsidR="001C6143" w:rsidRDefault="001C61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20405" w14:textId="77777777" w:rsidR="008075A4" w:rsidRDefault="00807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45505" w14:textId="56EADB22" w:rsidR="00E261B3" w:rsidRPr="00F65AA9" w:rsidRDefault="00315BD8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0AE5975F" wp14:editId="1CA07AAA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4E5C27" wp14:editId="4BC60C7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7C231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E5C27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C7C231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16F0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6820341A" wp14:editId="367BB4A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065DF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20341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B065DF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5BF6B" w14:textId="77777777" w:rsidR="008D37F6" w:rsidRDefault="008D37F6" w:rsidP="002862F1">
      <w:pPr>
        <w:spacing w:before="120"/>
      </w:pPr>
      <w:r>
        <w:separator/>
      </w:r>
    </w:p>
  </w:footnote>
  <w:footnote w:type="continuationSeparator" w:id="0">
    <w:p w14:paraId="761DA3F7" w14:textId="77777777" w:rsidR="008D37F6" w:rsidRDefault="008D37F6">
      <w:r>
        <w:continuationSeparator/>
      </w:r>
    </w:p>
  </w:footnote>
  <w:footnote w:type="continuationNotice" w:id="1">
    <w:p w14:paraId="20812B08" w14:textId="77777777" w:rsidR="001C6143" w:rsidRDefault="001C61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6AD6E" w14:textId="77777777" w:rsidR="008075A4" w:rsidRDefault="00807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A350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E799" w14:textId="77777777" w:rsidR="008075A4" w:rsidRDefault="008075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2BA3B" w14:textId="436BC5B7" w:rsidR="00E261B3" w:rsidRPr="0051568D" w:rsidRDefault="008C3697" w:rsidP="0011701A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188CC976" wp14:editId="5F50FB7E">
          <wp:simplePos x="0" y="0"/>
          <wp:positionH relativeFrom="page">
            <wp:posOffset>17780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Document title</w:t>
    </w:r>
    <w:r>
      <w:ptab w:relativeTo="margin" w:alignment="right" w:leader="none"/>
    </w:r>
    <w:r w:rsidRPr="007E1227">
      <w:rPr>
        <w:b/>
        <w:bCs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</w:rPr>
      <w:fldChar w:fldCharType="separate"/>
    </w:r>
    <w:r w:rsidRPr="007E1227">
      <w:rPr>
        <w:b/>
        <w:bCs/>
      </w:rPr>
      <w:t>3</w:t>
    </w:r>
    <w:r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89441CE"/>
    <w:multiLevelType w:val="hybridMultilevel"/>
    <w:tmpl w:val="88C8BF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E877D0E"/>
    <w:multiLevelType w:val="hybridMultilevel"/>
    <w:tmpl w:val="67245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7"/>
  </w:num>
  <w:num w:numId="25">
    <w:abstractNumId w:val="24"/>
  </w:num>
  <w:num w:numId="26">
    <w:abstractNumId w:val="20"/>
  </w:num>
  <w:num w:numId="27">
    <w:abstractNumId w:val="11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90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F12"/>
    <w:rsid w:val="00186B33"/>
    <w:rsid w:val="00191459"/>
    <w:rsid w:val="00192F9D"/>
    <w:rsid w:val="00196EB8"/>
    <w:rsid w:val="00196EFB"/>
    <w:rsid w:val="001979FF"/>
    <w:rsid w:val="00197B17"/>
    <w:rsid w:val="001A1950"/>
    <w:rsid w:val="001A1C54"/>
    <w:rsid w:val="001A3ACE"/>
    <w:rsid w:val="001A74C3"/>
    <w:rsid w:val="001B058F"/>
    <w:rsid w:val="001B738B"/>
    <w:rsid w:val="001C09DB"/>
    <w:rsid w:val="001C277E"/>
    <w:rsid w:val="001C2A72"/>
    <w:rsid w:val="001C31B7"/>
    <w:rsid w:val="001C6143"/>
    <w:rsid w:val="001D0B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29A"/>
    <w:rsid w:val="003A0853"/>
    <w:rsid w:val="003A43FE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E7770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48F9"/>
    <w:rsid w:val="00414D4A"/>
    <w:rsid w:val="0042084E"/>
    <w:rsid w:val="00420D3C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C726A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6EA6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1E3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44B7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75A4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35FAF"/>
    <w:rsid w:val="00841AA9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81F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37F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0240"/>
    <w:rsid w:val="009111B2"/>
    <w:rsid w:val="00912706"/>
    <w:rsid w:val="009151F5"/>
    <w:rsid w:val="00924AE1"/>
    <w:rsid w:val="009269B1"/>
    <w:rsid w:val="0092724D"/>
    <w:rsid w:val="009272B3"/>
    <w:rsid w:val="00930859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6AE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7E8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525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21F2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5FF9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83209F1"/>
  <w15:docId w15:val="{44E24662-AD78-4EB6-88D0-99C8C5E8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Mainheading">
    <w:name w:val="Main heading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Mainsubheading">
    <w:name w:val="Main subheading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DHHSbody">
    <w:name w:val="DHHS body"/>
    <w:link w:val="DHHSbodyChar"/>
    <w:qFormat/>
    <w:rsid w:val="00CC0525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6pt">
    <w:name w:val="DHHS table text + 6pt"/>
    <w:basedOn w:val="DHHStabletext"/>
    <w:rsid w:val="00CC0525"/>
    <w:pPr>
      <w:spacing w:after="120"/>
    </w:pPr>
  </w:style>
  <w:style w:type="paragraph" w:customStyle="1" w:styleId="DHHStabletext">
    <w:name w:val="DHHS table text"/>
    <w:uiPriority w:val="3"/>
    <w:qFormat/>
    <w:rsid w:val="00CC0525"/>
    <w:pPr>
      <w:spacing w:before="80" w:after="60"/>
    </w:pPr>
    <w:rPr>
      <w:rFonts w:ascii="Arial" w:hAnsi="Arial"/>
      <w:lang w:eastAsia="en-US"/>
    </w:rPr>
  </w:style>
  <w:style w:type="paragraph" w:customStyle="1" w:styleId="DHHStablebullet2">
    <w:name w:val="DHHS table bullet 2"/>
    <w:basedOn w:val="DHHStabletext"/>
    <w:uiPriority w:val="11"/>
    <w:rsid w:val="00CC0525"/>
    <w:pPr>
      <w:tabs>
        <w:tab w:val="num" w:pos="227"/>
      </w:tabs>
      <w:ind w:left="454" w:hanging="227"/>
    </w:pPr>
  </w:style>
  <w:style w:type="paragraph" w:customStyle="1" w:styleId="DHHStablebullet1">
    <w:name w:val="DHHS table bullet 1"/>
    <w:basedOn w:val="DHHStabletext"/>
    <w:uiPriority w:val="3"/>
    <w:qFormat/>
    <w:rsid w:val="00CC0525"/>
    <w:pPr>
      <w:ind w:left="227" w:hanging="227"/>
    </w:pPr>
  </w:style>
  <w:style w:type="paragraph" w:customStyle="1" w:styleId="DHHStablecolhead">
    <w:name w:val="DHHS table col head"/>
    <w:uiPriority w:val="3"/>
    <w:qFormat/>
    <w:rsid w:val="00CC0525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numberloweralphaindent">
    <w:name w:val="DHHS number lower alpha indent"/>
    <w:basedOn w:val="DHHSbody"/>
    <w:uiPriority w:val="3"/>
    <w:rsid w:val="00CC0525"/>
    <w:pPr>
      <w:tabs>
        <w:tab w:val="num" w:pos="794"/>
      </w:tabs>
      <w:ind w:left="794" w:hanging="397"/>
    </w:pPr>
  </w:style>
  <w:style w:type="paragraph" w:customStyle="1" w:styleId="DHHSnumberloweralpha">
    <w:name w:val="DHHS number lower alpha"/>
    <w:basedOn w:val="DHHSbody"/>
    <w:uiPriority w:val="3"/>
    <w:rsid w:val="00CC0525"/>
    <w:pPr>
      <w:tabs>
        <w:tab w:val="num" w:pos="397"/>
      </w:tabs>
      <w:ind w:left="397" w:hanging="397"/>
    </w:pPr>
  </w:style>
  <w:style w:type="character" w:customStyle="1" w:styleId="DHHSbodyChar">
    <w:name w:val="DHHS body Char"/>
    <w:basedOn w:val="DefaultParagraphFont"/>
    <w:link w:val="DHHSbody"/>
    <w:rsid w:val="00CC0525"/>
    <w:rPr>
      <w:rFonts w:ascii="Arial" w:eastAsia="Times" w:hAnsi="Arial"/>
      <w:lang w:eastAsia="en-US"/>
    </w:rPr>
  </w:style>
  <w:style w:type="paragraph" w:customStyle="1" w:styleId="Healthbody">
    <w:name w:val="Health body"/>
    <w:rsid w:val="00CC052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paragraph" w:styleId="ListParagraph">
    <w:name w:val="List Paragraph"/>
    <w:basedOn w:val="Normal"/>
    <w:uiPriority w:val="72"/>
    <w:semiHidden/>
    <w:qFormat/>
    <w:rsid w:val="00CC0525"/>
    <w:pPr>
      <w:spacing w:after="0" w:line="240" w:lineRule="auto"/>
      <w:ind w:left="720"/>
      <w:contextualSpacing/>
    </w:pPr>
    <w:rPr>
      <w:rFonts w:ascii="Cambria" w:hAnsi="Cambr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legislation.vic.gov.au/in-force/statutory-rules/public-health-and-wellbeing-regulations-2019/00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better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better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2.health.vic.gov.au/public-health/water/aquatic-facil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mailto:water@dhhs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 xmlns="48a3a529-1f19-4207-8ed6-979d0ffc11ef" xsi:nil="true"/>
    <O365_x0020_portal xmlns="48a3a529-1f19-4207-8ed6-979d0ffc11ef">
      <Url>https://dhhsvicgovau.sharepoint.com/:w:/s/health/Ea6aSkt274xAk94Ns_Nb7-wBqREAlkE8mDE72CRnk7tnug?e=abkgrC</Url>
      <Description>DH A4 portrait factsheet Blue (O365)</Description>
    </O365_x0020_portal>
    <SharedWithUsers xmlns="edc24be7-85b6-48b8-bec8-bca4fac6ccab">
      <UserInfo>
        <DisplayName>Jennifer Walsh (DHHS)</DisplayName>
        <AccountId>15</AccountId>
        <AccountType/>
      </UserInfo>
    </SharedWithUsers>
    <Template xmlns="48a3a529-1f19-4207-8ed6-979d0ffc11ef">Visual style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09B2A9B27F54CA0FADF9CF6F58BF5" ma:contentTypeVersion="17" ma:contentTypeDescription="Create a new document." ma:contentTypeScope="" ma:versionID="e821d25a9df240c9e8b103c8eaacdbe3">
  <xsd:schema xmlns:xsd="http://www.w3.org/2001/XMLSchema" xmlns:xs="http://www.w3.org/2001/XMLSchema" xmlns:p="http://schemas.microsoft.com/office/2006/metadata/properties" xmlns:ns2="48a3a529-1f19-4207-8ed6-979d0ffc11ef" xmlns:ns3="edc24be7-85b6-48b8-bec8-bca4fac6ccab" targetNamespace="http://schemas.microsoft.com/office/2006/metadata/properties" ma:root="true" ma:fieldsID="207d51bd781b999aaa1186c851d49d24" ns2:_="" ns3:_="">
    <xsd:import namespace="48a3a529-1f19-4207-8ed6-979d0ffc11ef"/>
    <xsd:import namespace="edc24be7-85b6-48b8-bec8-bca4fac6ccab"/>
    <xsd:element name="properties">
      <xsd:complexType>
        <xsd:sequence>
          <xsd:element name="documentManagement">
            <xsd:complexType>
              <xsd:all>
                <xsd:element ref="ns2:Template" minOccurs="0"/>
                <xsd:element ref="ns2:O365_x0020_portal" minOccurs="0"/>
                <xsd:element ref="ns2:Shar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a529-1f19-4207-8ed6-979d0ffc11ef" elementFormDefault="qualified">
    <xsd:import namespace="http://schemas.microsoft.com/office/2006/documentManagement/types"/>
    <xsd:import namespace="http://schemas.microsoft.com/office/infopath/2007/PartnerControls"/>
    <xsd:element name="Template" ma:index="2" nillable="true" ma:displayName="Style" ma:default="Visual style" ma:description="Type of template" ma:format="Dropdown" ma:internalName="Template" ma:readOnly="fals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  <xsd:element name="O365_x0020_portal" ma:index="3" nillable="true" ma:displayName="O365 portal" ma:description="O365 portal versions of templates. Save a copy of this template. One user can access the template at a time." ma:format="Hyperlink" ma:internalName="O365_x0020_porta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" ma:index="6" nillable="true" ma:displayName="Share to Desktop User" ma:default="Share icon" ma:format="Dropdown" ma:internalName="Shar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24be7-85b6-48b8-bec8-bca4fac6c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8a3a529-1f19-4207-8ed6-979d0ffc11ef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dc24be7-85b6-48b8-bec8-bca4fac6cca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4947B0-9B71-4AA4-AAC0-0A0DD34B1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a529-1f19-4207-8ed6-979d0ffc11ef"/>
    <ds:schemaRef ds:uri="edc24be7-85b6-48b8-bec8-bca4fac6c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518</Words>
  <Characters>3272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A4 portrait factsheet Blue</vt:lpstr>
    </vt:vector>
  </TitlesOfParts>
  <Company>Victoria State Government, Department of Health</Company>
  <LinksUpToDate>false</LinksUpToDate>
  <CharactersWithSpaces>3783</CharactersWithSpaces>
  <SharedDoc>false</SharedDoc>
  <HyperlinkBase/>
  <HLinks>
    <vt:vector size="72" baseType="variant">
      <vt:variant>
        <vt:i4>7602296</vt:i4>
      </vt:variant>
      <vt:variant>
        <vt:i4>51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48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3276830</vt:i4>
      </vt:variant>
      <vt:variant>
        <vt:i4>45</vt:i4>
      </vt:variant>
      <vt:variant>
        <vt:i4>0</vt:i4>
      </vt:variant>
      <vt:variant>
        <vt:i4>5</vt:i4>
      </vt:variant>
      <vt:variant>
        <vt:lpwstr>https://library.intranet.vic.gov.au/client/en_AU/vgls</vt:lpwstr>
      </vt:variant>
      <vt:variant>
        <vt:lpwstr/>
      </vt:variant>
      <vt:variant>
        <vt:i4>4718598</vt:i4>
      </vt:variant>
      <vt:variant>
        <vt:i4>42</vt:i4>
      </vt:variant>
      <vt:variant>
        <vt:i4>0</vt:i4>
      </vt:variant>
      <vt:variant>
        <vt:i4>5</vt:i4>
      </vt:variant>
      <vt:variant>
        <vt:lpwstr>https://intranet.dhhs.vic.gov.au/create-accessible-word-documents</vt:lpwstr>
      </vt:variant>
      <vt:variant>
        <vt:lpwstr/>
      </vt:variant>
      <vt:variant>
        <vt:i4>7602296</vt:i4>
      </vt:variant>
      <vt:variant>
        <vt:i4>39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4718598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https://intranet.dhhs.vic.gov.au/create-accessible-word-documents</vt:lpwstr>
      </vt:variant>
      <vt:variant>
        <vt:lpwstr/>
      </vt:variant>
      <vt:variant>
        <vt:i4>6684690</vt:i4>
      </vt:variant>
      <vt:variant>
        <vt:i4>33</vt:i4>
      </vt:variant>
      <vt:variant>
        <vt:i4>0</vt:i4>
      </vt:variant>
      <vt:variant>
        <vt:i4>5</vt:i4>
      </vt:variant>
      <vt:variant>
        <vt:lpwstr>mailto:info.management@dhhs.vic.gov.au</vt:lpwstr>
      </vt:variant>
      <vt:variant>
        <vt:lpwstr/>
      </vt:variant>
      <vt:variant>
        <vt:i4>4259846</vt:i4>
      </vt:variant>
      <vt:variant>
        <vt:i4>30</vt:i4>
      </vt:variant>
      <vt:variant>
        <vt:i4>0</vt:i4>
      </vt:variant>
      <vt:variant>
        <vt:i4>5</vt:i4>
      </vt:variant>
      <vt:variant>
        <vt:lpwstr>https://dhhsvicgovau.sharepoint.com/sites/idm/SitePages/Induction-to-protective-markings.aspx</vt:lpwstr>
      </vt:variant>
      <vt:variant>
        <vt:lpwstr/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_Toc62891859</vt:lpwstr>
      </vt:variant>
      <vt:variant>
        <vt:i4>1835066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_Toc62891858</vt:lpwstr>
      </vt:variant>
      <vt:variant>
        <vt:i4>1245242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_Toc62891857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_Toc62891856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A4 portrait factsheet Blue</dc:title>
  <dc:subject/>
  <dc:creator>Matt Haworth</dc:creator>
  <cp:keywords>templates</cp:keywords>
  <cp:lastModifiedBy>Anna McNaughton (Health)</cp:lastModifiedBy>
  <cp:revision>3</cp:revision>
  <cp:lastPrinted>2020-03-30T03:28:00Z</cp:lastPrinted>
  <dcterms:created xsi:type="dcterms:W3CDTF">2021-02-09T22:33:00Z</dcterms:created>
  <dcterms:modified xsi:type="dcterms:W3CDTF">2021-02-09T22:35:00Z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0x010100F6F09B2A9B27F54CA0FADF9CF6F58BF5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2021-02-09T22:35:12Z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54912b29-25c0-467c-aeba-e810dbabbcec</vt:lpwstr>
  </property>
  <property fmtid="{D5CDD505-2E9C-101B-9397-08002B2CF9AE}" pid="12" name="MSIP_Label_43e64453-338c-4f93-8a4d-0039a0a41f2a_ContentBits">
    <vt:lpwstr>2</vt:lpwstr>
  </property>
</Properties>
</file>